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2A" w:rsidRPr="00B23DEE" w:rsidRDefault="00FF0878" w:rsidP="008F7989">
      <w:pPr>
        <w:spacing w:after="0" w:line="276" w:lineRule="auto"/>
        <w:jc w:val="both"/>
        <w:rPr>
          <w:rFonts w:ascii="Times New Roman" w:eastAsia="黑体" w:hAnsi="Times New Roman" w:cs="Times New Roman"/>
          <w:sz w:val="28"/>
          <w:szCs w:val="21"/>
        </w:rPr>
      </w:pPr>
      <w:r w:rsidRPr="00B23DEE">
        <w:rPr>
          <w:rFonts w:ascii="Times New Roman" w:eastAsia="黑体" w:hAnsi="Times New Roman" w:cs="Times New Roman"/>
          <w:sz w:val="28"/>
          <w:szCs w:val="21"/>
        </w:rPr>
        <w:t>一、</w:t>
      </w:r>
      <w:r w:rsidR="00F5342A" w:rsidRPr="00B23DEE">
        <w:rPr>
          <w:rFonts w:ascii="Times New Roman" w:eastAsia="黑体" w:hAnsi="Times New Roman" w:cs="Times New Roman"/>
          <w:sz w:val="28"/>
          <w:szCs w:val="21"/>
        </w:rPr>
        <w:t>阴道镜技术参数</w:t>
      </w:r>
    </w:p>
    <w:p w:rsidR="00F5342A" w:rsidRPr="00B23DEE" w:rsidRDefault="00567094" w:rsidP="00FF0878">
      <w:pPr>
        <w:pStyle w:val="a5"/>
        <w:numPr>
          <w:ilvl w:val="0"/>
          <w:numId w:val="5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镜头部分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阴道镜专用显微光学镜头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,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集光源、目镜、相机接口一体化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  <w:u w:val="single"/>
        </w:rPr>
        <w:t>光学系统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：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不低于三通道独立光路系统；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  <w:u w:val="single"/>
        </w:rPr>
        <w:t>内置测量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：具有内置目镜测量功能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放大倍数：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1:1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光学放大倍数，提供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7.5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倍、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15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倍、</w:t>
      </w:r>
      <w:r w:rsidR="00F5342A" w:rsidRPr="00B23DEE">
        <w:rPr>
          <w:rFonts w:ascii="Times New Roman" w:eastAsiaTheme="minorEastAsia" w:hAnsi="Times New Roman" w:cs="Times New Roman"/>
          <w:sz w:val="21"/>
          <w:szCs w:val="21"/>
        </w:rPr>
        <w:t>30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倍放大固定倍率</w:t>
      </w:r>
    </w:p>
    <w:p w:rsidR="00567094" w:rsidRPr="00B23DEE" w:rsidRDefault="00F5342A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完整的消色差物镜。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光源：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LED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冷光源照明系统，寿命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≥1.5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万小时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  <w:u w:val="single"/>
        </w:rPr>
        <w:t>光学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  <w:u w:val="single"/>
        </w:rPr>
        <w:t>滤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  <w:u w:val="single"/>
        </w:rPr>
        <w:t>镜片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：光源里有内置可调绿色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滤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镜片，色温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5500K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不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可用绿色灯泡替代。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支架：可旋转的气压式升降支架，带气泡水平仪的稳定底架，可以放在检查床左边或右边；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镜头水平支臂：旋钮调节镜头水平支臂，轻松实现镜头水平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/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垂直方向自由移动；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  <w:u w:val="single"/>
        </w:rPr>
        <w:t>手柄微调功能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：有微调功能，可使镜头左右、上仰下倾、前后移动镜头。</w:t>
      </w:r>
    </w:p>
    <w:p w:rsidR="0018459F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摄像系统：数字专业相机，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≥2000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万超高像素图像采集，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HDMI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高清实时图像显示，镜下图像与显示器图像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100%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同步显示</w:t>
      </w:r>
      <w:r w:rsidR="0018459F" w:rsidRPr="00B23DEE">
        <w:rPr>
          <w:rFonts w:ascii="Times New Roman" w:eastAsiaTheme="minorEastAsia" w:hAnsi="Times New Roman" w:cs="Times New Roman"/>
          <w:sz w:val="21"/>
          <w:szCs w:val="21"/>
        </w:rPr>
        <w:t>；</w:t>
      </w:r>
    </w:p>
    <w:p w:rsidR="0018459F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图像处理器：苹果一体化主机</w:t>
      </w:r>
      <w:r w:rsidR="0018459F" w:rsidRPr="00B23DEE">
        <w:rPr>
          <w:rFonts w:ascii="Times New Roman" w:eastAsiaTheme="minorEastAsia" w:hAnsi="Times New Roman" w:cs="Times New Roman"/>
          <w:sz w:val="21"/>
          <w:szCs w:val="21"/>
        </w:rPr>
        <w:t>；</w:t>
      </w:r>
    </w:p>
    <w:p w:rsidR="00567094" w:rsidRPr="00B23DEE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打印输出：激光彩色打印机。</w:t>
      </w:r>
    </w:p>
    <w:p w:rsidR="0018459F" w:rsidRPr="00B23DEE" w:rsidRDefault="0018459F" w:rsidP="00FF0878">
      <w:pPr>
        <w:pStyle w:val="a5"/>
        <w:numPr>
          <w:ilvl w:val="0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软件管理系统：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具有无缝缩放技术，实现数字显微图像采集；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能够对检查全过程的图像进行采集、显示、冻结、储存、删除等操作，脚踏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板控制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采集方式；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可进行姓名、年龄、病种、日期等查询方式；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具有阴道镜血管分布增强显影功能；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提供对比分析，具备真实的测量功能；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临床表现、临床处理、诊断意见等提供标准术语库，用户可进行修改；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采用特殊图像压缩技术、具有大容量图像存储、数据库管理，能储存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200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万幅以上图像数据，每次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连续采图量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1-100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幅，并能保存；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支持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≥28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小时动态实时图像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&amp;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声音硬盘录像，实时回放检查过程；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检查图像自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带检查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时间；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病历图片自动生成幻灯模式，所有病历报告可以保存在任意指定文件夹，并可以随时导出报告。</w:t>
      </w:r>
    </w:p>
    <w:p w:rsidR="0018459F" w:rsidRPr="00B23DEE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具有醋酸实验时间提示。</w:t>
      </w:r>
    </w:p>
    <w:p w:rsidR="0018459F" w:rsidRPr="00B23DEE" w:rsidRDefault="0018459F" w:rsidP="008F7989">
      <w:pPr>
        <w:pStyle w:val="a5"/>
        <w:numPr>
          <w:ilvl w:val="0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台车</w:t>
      </w:r>
    </w:p>
    <w:p w:rsidR="008F7989" w:rsidRPr="00B23DEE" w:rsidRDefault="008F7989">
      <w:pPr>
        <w:adjustRightInd/>
        <w:snapToGrid/>
        <w:spacing w:line="220" w:lineRule="atLeast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br w:type="page"/>
      </w:r>
    </w:p>
    <w:p w:rsidR="008F7989" w:rsidRPr="00B23DEE" w:rsidRDefault="008F7989" w:rsidP="008F7989">
      <w:pPr>
        <w:spacing w:after="0" w:line="276" w:lineRule="auto"/>
        <w:jc w:val="both"/>
        <w:rPr>
          <w:rFonts w:ascii="Times New Roman" w:eastAsia="黑体" w:hAnsi="Times New Roman" w:cs="Times New Roman"/>
          <w:sz w:val="28"/>
          <w:szCs w:val="21"/>
        </w:rPr>
      </w:pPr>
      <w:r w:rsidRPr="00B23DEE">
        <w:rPr>
          <w:rFonts w:ascii="Times New Roman" w:eastAsia="黑体" w:hAnsi="Times New Roman" w:cs="Times New Roman"/>
          <w:sz w:val="28"/>
          <w:szCs w:val="21"/>
        </w:rPr>
        <w:lastRenderedPageBreak/>
        <w:t>二、</w:t>
      </w:r>
      <w:r w:rsidR="00FF0878" w:rsidRPr="00B23DEE">
        <w:rPr>
          <w:rFonts w:ascii="Times New Roman" w:eastAsia="黑体" w:hAnsi="Times New Roman" w:cs="Times New Roman"/>
          <w:sz w:val="28"/>
          <w:szCs w:val="21"/>
        </w:rPr>
        <w:t>耳鼻</w:t>
      </w:r>
      <w:proofErr w:type="gramStart"/>
      <w:r w:rsidR="00FF0878" w:rsidRPr="00B23DEE">
        <w:rPr>
          <w:rFonts w:ascii="Times New Roman" w:eastAsia="黑体" w:hAnsi="Times New Roman" w:cs="Times New Roman"/>
          <w:sz w:val="28"/>
          <w:szCs w:val="21"/>
        </w:rPr>
        <w:t>喉</w:t>
      </w:r>
      <w:proofErr w:type="gramEnd"/>
      <w:r w:rsidR="00FF0878" w:rsidRPr="00B23DEE">
        <w:rPr>
          <w:rFonts w:ascii="Times New Roman" w:eastAsia="黑体" w:hAnsi="Times New Roman" w:cs="Times New Roman"/>
          <w:sz w:val="28"/>
          <w:szCs w:val="21"/>
        </w:rPr>
        <w:t>治疗台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三关节万向转动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LED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冷射灯设计：可做任何方向调节，水平方向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360°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，垂直方向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20°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灯臂垂直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升降范围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600mm,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方便医生检查。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LED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冷射灯光自然光（白光照明，工作温度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≤40°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），光线直射，无反射、折射影响效果，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LED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灯泡使用寿命＞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10000h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大理石主操作台：美观、清洁，防止药液渗漏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;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规格：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900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W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×500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×780 ( H ) mm;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重量：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100kg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机箱：金属材质，数控成型，电子喷塑，强度大，耐撞击。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体式喷药枪：中间无芯，最新技术，无芯一体技术无膛线。拆装灵活，便于清洁；内部精细的水气路设计，使药液喷射更均匀，且无水滴、无阻塞现象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高性能正压泵：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～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0.3Mpa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，可调</w:t>
      </w:r>
      <w:r w:rsidR="008F7989" w:rsidRPr="00B23DEE">
        <w:rPr>
          <w:rFonts w:ascii="Times New Roman" w:eastAsiaTheme="minorEastAsia" w:hAnsi="Times New Roman" w:cs="Times New Roman"/>
          <w:sz w:val="21"/>
          <w:szCs w:val="21"/>
        </w:rPr>
        <w:t>；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最大压力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0.3Mpa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高性能负压泵：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0MPa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～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-0.1MPa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采用防回流装置，采用减震防噪音设计，安全环保，易清洁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;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负压吸引管内置于机箱内。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加热除雾装置：采用防尘装置，防止灰尘异物进入；平滑加热，性能稳定；定时设置人工控制开关，以避免误启动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耳咽管通气装置：低噪音，使用寿命长，免维护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分泌物吸引装置：可调节吸力大小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纱布容器：嵌入式设计，方便投放和取出消毒。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吸入污物瓶：主、副污物瓶设计（主）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2500cc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（副）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250cc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，规格为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2500ml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250ml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，严格按照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ISO9001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对医疗产品的排放要求设计；采用防回流装置。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正常工作噪声：＜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60dB</w:t>
      </w:r>
      <w:r w:rsidR="00050442"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电动病人椅，数量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台：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630(W)×800(D)×1260(H)mm +10%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220V/50Hz</w:t>
      </w:r>
      <w:r w:rsidR="008F7989" w:rsidRPr="00B23DE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旋转角度不小于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300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度，两侧扶手可以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360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度旋转，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标准形程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200mm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，速度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≤10mm/s</w:t>
      </w:r>
      <w:r w:rsidR="008F7989" w:rsidRPr="00B23DE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靠背倾斜不大于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170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度，最大负载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150kg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；人体工程学设计，可与治疗台连接，三方位控制其升降。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医生座椅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把</w:t>
      </w:r>
    </w:p>
    <w:p w:rsidR="00FF0878" w:rsidRPr="00B23DEE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标准型治疗台配置：</w:t>
      </w:r>
    </w:p>
    <w:p w:rsidR="008F7989" w:rsidRPr="00B23DEE" w:rsidRDefault="00FF0878">
      <w:pPr>
        <w:adjustRightInd/>
        <w:snapToGrid/>
        <w:spacing w:line="220" w:lineRule="atLeast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LED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冷射照明灯装置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）大理石主操作台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体式喷药枪（直型）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2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体式喷药枪（弯型）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5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）高性能正压泵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6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）高性能负压泵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7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）医用药瓶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8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）加热除雾装置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9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）耳咽管通气装置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）分泌物吸引头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）纱布容器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3 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12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）器械托盘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13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）电动病人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椅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14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）医生座椅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cr/>
      </w:r>
      <w:r w:rsidR="008F7989" w:rsidRPr="00B23DEE">
        <w:rPr>
          <w:rFonts w:ascii="Times New Roman" w:eastAsiaTheme="minorEastAsia" w:hAnsi="Times New Roman" w:cs="Times New Roman"/>
          <w:sz w:val="21"/>
          <w:szCs w:val="21"/>
        </w:rPr>
        <w:br w:type="page"/>
      </w:r>
    </w:p>
    <w:p w:rsidR="004358AB" w:rsidRPr="00B23DEE" w:rsidRDefault="008F7989" w:rsidP="008F7989">
      <w:pPr>
        <w:spacing w:after="0" w:line="276" w:lineRule="auto"/>
        <w:jc w:val="both"/>
        <w:rPr>
          <w:rFonts w:ascii="Times New Roman" w:eastAsia="黑体" w:hAnsi="Times New Roman" w:cs="Times New Roman"/>
          <w:sz w:val="28"/>
          <w:szCs w:val="21"/>
        </w:rPr>
      </w:pPr>
      <w:r w:rsidRPr="00B23DEE">
        <w:rPr>
          <w:rFonts w:ascii="Times New Roman" w:eastAsia="黑体" w:hAnsi="Times New Roman" w:cs="Times New Roman"/>
          <w:sz w:val="28"/>
          <w:szCs w:val="21"/>
        </w:rPr>
        <w:lastRenderedPageBreak/>
        <w:t>三、辐射防护用具</w:t>
      </w:r>
    </w:p>
    <w:tbl>
      <w:tblPr>
        <w:tblStyle w:val="a6"/>
        <w:tblW w:w="8321" w:type="dxa"/>
        <w:jc w:val="center"/>
        <w:tblLayout w:type="fixed"/>
        <w:tblLook w:val="0000" w:firstRow="0" w:lastRow="0" w:firstColumn="0" w:lastColumn="0" w:noHBand="0" w:noVBand="0"/>
      </w:tblPr>
      <w:tblGrid>
        <w:gridCol w:w="1241"/>
        <w:gridCol w:w="1220"/>
        <w:gridCol w:w="1060"/>
        <w:gridCol w:w="4800"/>
      </w:tblGrid>
      <w:tr w:rsidR="00B23DEE" w:rsidRPr="00B23DEE" w:rsidTr="00F45464">
        <w:trPr>
          <w:jc w:val="center"/>
        </w:trPr>
        <w:tc>
          <w:tcPr>
            <w:tcW w:w="1241" w:type="dxa"/>
            <w:vAlign w:val="center"/>
          </w:tcPr>
          <w:p w:rsidR="00B23DEE" w:rsidRPr="00B23DEE" w:rsidRDefault="00B23DEE" w:rsidP="00B23DEE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黑体" w:hAnsi="Times New Roman"/>
                <w:sz w:val="22"/>
                <w:szCs w:val="21"/>
              </w:rPr>
            </w:pPr>
            <w:r w:rsidRPr="00B23DEE">
              <w:rPr>
                <w:rFonts w:ascii="Times New Roman" w:eastAsia="黑体" w:hAnsi="Times New Roman"/>
                <w:sz w:val="22"/>
                <w:szCs w:val="21"/>
              </w:rPr>
              <w:t>名称</w:t>
            </w:r>
          </w:p>
        </w:tc>
        <w:tc>
          <w:tcPr>
            <w:tcW w:w="1220" w:type="dxa"/>
            <w:vAlign w:val="center"/>
          </w:tcPr>
          <w:p w:rsidR="00B23DEE" w:rsidRPr="00B23DEE" w:rsidRDefault="00B23DEE" w:rsidP="00B23DEE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黑体" w:hAnsi="Times New Roman"/>
                <w:sz w:val="22"/>
                <w:szCs w:val="21"/>
              </w:rPr>
            </w:pPr>
            <w:r w:rsidRPr="00B23DEE">
              <w:rPr>
                <w:rFonts w:ascii="Times New Roman" w:eastAsia="黑体" w:hAnsi="Times New Roman"/>
                <w:sz w:val="22"/>
                <w:szCs w:val="21"/>
              </w:rPr>
              <w:t>铅当量（</w:t>
            </w:r>
            <w:proofErr w:type="spellStart"/>
            <w:r w:rsidRPr="00B23DEE">
              <w:rPr>
                <w:rFonts w:ascii="Times New Roman" w:eastAsia="黑体" w:hAnsi="Times New Roman"/>
                <w:sz w:val="22"/>
                <w:szCs w:val="21"/>
              </w:rPr>
              <w:t>mmpb</w:t>
            </w:r>
            <w:proofErr w:type="spellEnd"/>
            <w:r w:rsidRPr="00B23DEE">
              <w:rPr>
                <w:rFonts w:ascii="Times New Roman" w:eastAsia="黑体" w:hAnsi="Times New Roman"/>
                <w:sz w:val="22"/>
                <w:szCs w:val="21"/>
              </w:rPr>
              <w:t>）</w:t>
            </w:r>
          </w:p>
        </w:tc>
        <w:tc>
          <w:tcPr>
            <w:tcW w:w="1060" w:type="dxa"/>
            <w:vAlign w:val="center"/>
          </w:tcPr>
          <w:p w:rsidR="00B23DEE" w:rsidRPr="00B23DEE" w:rsidRDefault="00B23DEE" w:rsidP="00B23DEE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黑体" w:hAnsi="Times New Roman"/>
                <w:sz w:val="22"/>
                <w:szCs w:val="21"/>
              </w:rPr>
            </w:pPr>
            <w:r w:rsidRPr="00B23DEE">
              <w:rPr>
                <w:rFonts w:ascii="Times New Roman" w:eastAsia="黑体" w:hAnsi="Times New Roman"/>
                <w:sz w:val="22"/>
                <w:szCs w:val="21"/>
              </w:rPr>
              <w:t>数量（件）</w:t>
            </w:r>
          </w:p>
        </w:tc>
        <w:tc>
          <w:tcPr>
            <w:tcW w:w="4800" w:type="dxa"/>
            <w:vAlign w:val="center"/>
          </w:tcPr>
          <w:p w:rsidR="00B23DEE" w:rsidRPr="00B23DEE" w:rsidRDefault="00B23DEE" w:rsidP="00B23DEE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黑体" w:hAnsi="Times New Roman"/>
                <w:sz w:val="22"/>
                <w:szCs w:val="21"/>
              </w:rPr>
            </w:pPr>
            <w:r w:rsidRPr="00B23DEE">
              <w:rPr>
                <w:rFonts w:ascii="Times New Roman" w:eastAsia="黑体" w:hAnsi="Times New Roman"/>
                <w:sz w:val="22"/>
                <w:szCs w:val="21"/>
              </w:rPr>
              <w:t>备注</w:t>
            </w:r>
          </w:p>
        </w:tc>
      </w:tr>
      <w:tr w:rsidR="00B23DEE" w:rsidRPr="00B23DEE" w:rsidTr="00F45464">
        <w:trPr>
          <w:trHeight w:val="964"/>
          <w:jc w:val="center"/>
        </w:trPr>
        <w:tc>
          <w:tcPr>
            <w:tcW w:w="1241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双面分体式防护服</w:t>
            </w:r>
          </w:p>
        </w:tc>
        <w:tc>
          <w:tcPr>
            <w:tcW w:w="122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0.5</w:t>
            </w:r>
          </w:p>
        </w:tc>
        <w:tc>
          <w:tcPr>
            <w:tcW w:w="106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10</w:t>
            </w:r>
          </w:p>
        </w:tc>
        <w:tc>
          <w:tcPr>
            <w:tcW w:w="4800" w:type="dxa"/>
            <w:vMerge w:val="restart"/>
          </w:tcPr>
          <w:p w:rsidR="00B23DEE" w:rsidRPr="00B23DEE" w:rsidRDefault="00B23DEE" w:rsidP="00B23DEE">
            <w:pPr>
              <w:spacing w:line="0" w:lineRule="atLeas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1.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稀贵金属与铅的复合材料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,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采用纳米技术：有效衰减材料，分布均匀；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    </w:t>
            </w:r>
          </w:p>
          <w:p w:rsidR="00B23DEE" w:rsidRPr="00B23DEE" w:rsidRDefault="00B23DEE" w:rsidP="00B23DEE">
            <w:pPr>
              <w:spacing w:line="0" w:lineRule="atLeas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2.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通过国际电工学会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IEC 61331-1:2014 </w:t>
            </w:r>
            <w:proofErr w:type="gramStart"/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倒宽束几何条件</w:t>
            </w:r>
            <w:proofErr w:type="gramEnd"/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测试方法，避免荧光效应给医务人员身体带来的伤害；</w:t>
            </w:r>
          </w:p>
          <w:p w:rsidR="00B23DEE" w:rsidRPr="00B23DEE" w:rsidRDefault="00B23DEE" w:rsidP="00B23DEE">
            <w:pPr>
              <w:pStyle w:val="a5"/>
              <w:spacing w:line="0" w:lineRule="atLeast"/>
              <w:ind w:firstLineChars="0" w:firstLine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3.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优质铅橡胶：抗老化、硬化、耐拉扯；</w:t>
            </w:r>
          </w:p>
          <w:p w:rsidR="00B23DEE" w:rsidRPr="00B23DEE" w:rsidRDefault="00B23DEE" w:rsidP="00B23DEE">
            <w:pPr>
              <w:pStyle w:val="a5"/>
              <w:spacing w:line="0" w:lineRule="atLeast"/>
              <w:ind w:firstLineChars="0" w:firstLine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4.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铅当量：铅当量：</w:t>
            </w:r>
            <w:proofErr w:type="gramStart"/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前面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≥</w:t>
            </w:r>
            <w:proofErr w:type="gramEnd"/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0.5mmPb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，</w:t>
            </w:r>
            <w:proofErr w:type="gramStart"/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后面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≥</w:t>
            </w:r>
            <w:proofErr w:type="gramEnd"/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0.25mmPb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。重量超轻，平均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5Kg</w:t>
            </w:r>
            <w:r w:rsidRPr="00B23D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B23DEE" w:rsidRPr="00B23DEE" w:rsidTr="00F45464">
        <w:trPr>
          <w:trHeight w:val="674"/>
          <w:jc w:val="center"/>
        </w:trPr>
        <w:tc>
          <w:tcPr>
            <w:tcW w:w="1241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防辐射围领</w:t>
            </w:r>
          </w:p>
        </w:tc>
        <w:tc>
          <w:tcPr>
            <w:tcW w:w="122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0.5</w:t>
            </w:r>
          </w:p>
        </w:tc>
        <w:tc>
          <w:tcPr>
            <w:tcW w:w="106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10</w:t>
            </w:r>
          </w:p>
        </w:tc>
        <w:tc>
          <w:tcPr>
            <w:tcW w:w="4800" w:type="dxa"/>
            <w:vMerge/>
          </w:tcPr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23DEE" w:rsidRPr="00B23DEE" w:rsidTr="00F45464">
        <w:trPr>
          <w:trHeight w:val="964"/>
          <w:jc w:val="center"/>
        </w:trPr>
        <w:tc>
          <w:tcPr>
            <w:tcW w:w="1241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医用射线防护悬吊屏风</w:t>
            </w:r>
          </w:p>
        </w:tc>
        <w:tc>
          <w:tcPr>
            <w:tcW w:w="122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0.5</w:t>
            </w:r>
          </w:p>
        </w:tc>
        <w:tc>
          <w:tcPr>
            <w:tcW w:w="106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4800" w:type="dxa"/>
          </w:tcPr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1.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透明部分采用</w:t>
            </w:r>
            <w:proofErr w:type="gramStart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进口高铅高</w:t>
            </w:r>
            <w:proofErr w:type="gramEnd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透光率铅有机玻璃；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2.</w:t>
            </w:r>
            <w:proofErr w:type="gramStart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软帘部分</w:t>
            </w:r>
            <w:proofErr w:type="gramEnd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采用进口超轻超薄超柔软型防护材料；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3.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吊杆组件加工精度高，防护屏定位稳定，全方位移动；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4.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旋转臂长度为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900mm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；平衡臂长度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910mm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5.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可与飞利浦、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GE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、</w:t>
            </w:r>
            <w:proofErr w:type="gramStart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联影等</w:t>
            </w:r>
            <w:proofErr w:type="gramEnd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公司的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DSA</w:t>
            </w:r>
            <w:proofErr w:type="gramStart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血管机</w:t>
            </w:r>
            <w:proofErr w:type="gramEnd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配套使用。</w:t>
            </w:r>
          </w:p>
        </w:tc>
      </w:tr>
      <w:tr w:rsidR="00B23DEE" w:rsidRPr="00B23DEE" w:rsidTr="00F45464">
        <w:trPr>
          <w:trHeight w:val="964"/>
          <w:jc w:val="center"/>
        </w:trPr>
        <w:tc>
          <w:tcPr>
            <w:tcW w:w="1241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医用射线防护帘</w:t>
            </w:r>
          </w:p>
        </w:tc>
        <w:tc>
          <w:tcPr>
            <w:tcW w:w="122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0.5</w:t>
            </w:r>
          </w:p>
        </w:tc>
        <w:tc>
          <w:tcPr>
            <w:tcW w:w="1060" w:type="dxa"/>
            <w:vAlign w:val="center"/>
          </w:tcPr>
          <w:p w:rsidR="00B23DEE" w:rsidRPr="00B23DEE" w:rsidRDefault="00B23DEE" w:rsidP="00B23DE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B23DEE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4800" w:type="dxa"/>
          </w:tcPr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1.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产品符合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GBZ130-2013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《医用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X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射线诊断放射防护要求》；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2.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采用进口超轻超薄超柔软型防护材料；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3.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上档板采用专利设计的内置弹性钢条骨架结构，提高了上档板的柔韧性，使其受压弯曲后可恢复原状，方便操作者使用；</w:t>
            </w:r>
          </w:p>
          <w:p w:rsidR="00B23DEE" w:rsidRPr="00B23DEE" w:rsidRDefault="00B23DEE" w:rsidP="00B23DEE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4.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外观简洁、美观，可与飞利浦、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GE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、岛津、东芝、等公司</w:t>
            </w:r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DSA</w:t>
            </w:r>
            <w:proofErr w:type="gramStart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血管机</w:t>
            </w:r>
            <w:proofErr w:type="gramEnd"/>
            <w:r w:rsidRPr="00B23DEE">
              <w:rPr>
                <w:rFonts w:ascii="Times New Roman" w:eastAsiaTheme="minorEastAsia" w:hAnsi="Times New Roman"/>
                <w:sz w:val="18"/>
                <w:szCs w:val="18"/>
              </w:rPr>
              <w:t>配套使用。</w:t>
            </w:r>
          </w:p>
        </w:tc>
      </w:tr>
    </w:tbl>
    <w:p w:rsidR="003A446F" w:rsidRPr="00B23DEE" w:rsidRDefault="003A446F">
      <w:pPr>
        <w:adjustRightInd/>
        <w:snapToGrid/>
        <w:spacing w:line="220" w:lineRule="atLeast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br w:type="page"/>
      </w:r>
    </w:p>
    <w:p w:rsidR="003A446F" w:rsidRPr="00B23DEE" w:rsidRDefault="003A446F" w:rsidP="003A446F">
      <w:pPr>
        <w:spacing w:after="0" w:line="276" w:lineRule="auto"/>
        <w:jc w:val="both"/>
        <w:rPr>
          <w:rFonts w:ascii="Times New Roman" w:eastAsia="黑体" w:hAnsi="Times New Roman" w:cs="Times New Roman"/>
          <w:sz w:val="28"/>
          <w:szCs w:val="21"/>
        </w:rPr>
      </w:pPr>
      <w:r w:rsidRPr="00B23DEE">
        <w:rPr>
          <w:rFonts w:ascii="Times New Roman" w:eastAsia="黑体" w:hAnsi="Times New Roman" w:cs="Times New Roman"/>
          <w:sz w:val="28"/>
          <w:szCs w:val="21"/>
        </w:rPr>
        <w:lastRenderedPageBreak/>
        <w:t>四、新冠病毒全自动即时检测仪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分子并行反应：同时进行核酸释放、逆转录、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PCR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扩增。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配件包括：主机及电源一套、平板笔记本电脑、小型离心机。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仪器原理：基于变温扩增技术。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光源：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High Power LED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，使用寿命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≥10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年。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系统检测头：高灵敏度光电二极管。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加热制冷模块：半导体。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升温速度：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≥7</w:t>
      </w:r>
      <w:r w:rsidRPr="00B23DEE">
        <w:rPr>
          <w:rFonts w:ascii="宋体" w:eastAsia="宋体" w:hAnsi="宋体" w:cs="宋体" w:hint="eastAsia"/>
          <w:sz w:val="21"/>
          <w:szCs w:val="21"/>
        </w:rPr>
        <w:t>℃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/s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；降温速度：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≥1.5</w:t>
      </w:r>
      <w:r w:rsidRPr="00B23DEE">
        <w:rPr>
          <w:rFonts w:ascii="宋体" w:eastAsia="宋体" w:hAnsi="宋体" w:cs="宋体" w:hint="eastAsia"/>
          <w:sz w:val="21"/>
          <w:szCs w:val="21"/>
        </w:rPr>
        <w:t>℃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/s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温度精准性：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≤±0.5</w:t>
      </w:r>
      <w:r w:rsidRPr="00B23DEE">
        <w:rPr>
          <w:rFonts w:ascii="宋体" w:eastAsia="宋体" w:hAnsi="宋体" w:cs="宋体" w:hint="eastAsia"/>
          <w:sz w:val="21"/>
          <w:szCs w:val="21"/>
        </w:rPr>
        <w:t>℃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反应体积：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25uL-50uL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样本检测位：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≥4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个，独立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样本位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随到随检。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净重：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≤5kg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操作方式：全封闭模式。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检测荧光通道：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≥4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个，至少包括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FAM/SYBR Green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HEX/VIC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ROX/TEXAS RED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 xml:space="preserve"> CY5.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样本处理：无需核酸提取纯化，可原始</w:t>
      </w:r>
      <w:proofErr w:type="gramStart"/>
      <w:r w:rsidRPr="00B23DEE">
        <w:rPr>
          <w:rFonts w:ascii="Times New Roman" w:eastAsiaTheme="minorEastAsia" w:hAnsi="Times New Roman" w:cs="Times New Roman"/>
          <w:sz w:val="21"/>
          <w:szCs w:val="21"/>
        </w:rPr>
        <w:t>样本上样检测</w:t>
      </w:r>
      <w:proofErr w:type="gramEnd"/>
      <w:r w:rsidRPr="00B23DEE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适用样本：咽拭子、痰液。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仪器及配套试剂具备有效期内的三类医疗器械注册证。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新冠检测试剂和仪器设备为同一品牌，检测结果可溯源。</w:t>
      </w:r>
    </w:p>
    <w:p w:rsidR="003A446F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配套试剂无需核酸提取步骤，减少手工操作，在同一仪器内部全自动完成核酸裂解、释放、扩增、结果输出，一次开盖，避免密闭空间气溶胶污染。</w:t>
      </w:r>
    </w:p>
    <w:p w:rsidR="008F7989" w:rsidRPr="00B23DEE" w:rsidRDefault="003A446F" w:rsidP="003A446F">
      <w:pPr>
        <w:pStyle w:val="a5"/>
        <w:numPr>
          <w:ilvl w:val="0"/>
          <w:numId w:val="13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23DEE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检测时间：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≤30</w:t>
      </w:r>
      <w:r w:rsidRPr="00B23DEE">
        <w:rPr>
          <w:rFonts w:ascii="Times New Roman" w:eastAsiaTheme="minorEastAsia" w:hAnsi="Times New Roman" w:cs="Times New Roman"/>
          <w:sz w:val="21"/>
          <w:szCs w:val="21"/>
        </w:rPr>
        <w:t>分钟。</w:t>
      </w:r>
    </w:p>
    <w:sectPr w:rsidR="008F7989" w:rsidRPr="00B23D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35" w:rsidRDefault="00B52D35" w:rsidP="00F5342A">
      <w:pPr>
        <w:spacing w:after="0"/>
      </w:pPr>
      <w:r>
        <w:separator/>
      </w:r>
    </w:p>
  </w:endnote>
  <w:endnote w:type="continuationSeparator" w:id="0">
    <w:p w:rsidR="00B52D35" w:rsidRDefault="00B52D35" w:rsidP="00F53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35" w:rsidRDefault="00B52D35" w:rsidP="00F5342A">
      <w:pPr>
        <w:spacing w:after="0"/>
      </w:pPr>
      <w:r>
        <w:separator/>
      </w:r>
    </w:p>
  </w:footnote>
  <w:footnote w:type="continuationSeparator" w:id="0">
    <w:p w:rsidR="00B52D35" w:rsidRDefault="00B52D35" w:rsidP="00F53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A60"/>
    <w:multiLevelType w:val="hybridMultilevel"/>
    <w:tmpl w:val="50A422A8"/>
    <w:lvl w:ilvl="0" w:tplc="92927E3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7404C"/>
    <w:multiLevelType w:val="hybridMultilevel"/>
    <w:tmpl w:val="F19466A6"/>
    <w:lvl w:ilvl="0" w:tplc="44E68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17DFE"/>
    <w:multiLevelType w:val="multilevel"/>
    <w:tmpl w:val="89981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28E05382"/>
    <w:multiLevelType w:val="hybridMultilevel"/>
    <w:tmpl w:val="37A63164"/>
    <w:lvl w:ilvl="0" w:tplc="2E74A8C0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FE5EC3"/>
    <w:multiLevelType w:val="hybridMultilevel"/>
    <w:tmpl w:val="B0402AB8"/>
    <w:lvl w:ilvl="0" w:tplc="D3A298C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432E2B"/>
    <w:multiLevelType w:val="multilevel"/>
    <w:tmpl w:val="0334307E"/>
    <w:numStyleLink w:val="1"/>
  </w:abstractNum>
  <w:abstractNum w:abstractNumId="6">
    <w:nsid w:val="4E8D381B"/>
    <w:multiLevelType w:val="hybridMultilevel"/>
    <w:tmpl w:val="0D46A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8B06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62228F0"/>
    <w:multiLevelType w:val="multilevel"/>
    <w:tmpl w:val="0334307E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63421B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65762C84"/>
    <w:multiLevelType w:val="hybridMultilevel"/>
    <w:tmpl w:val="0D46A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3D3FF0"/>
    <w:multiLevelType w:val="hybridMultilevel"/>
    <w:tmpl w:val="350ED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2E548F"/>
    <w:multiLevelType w:val="hybridMultilevel"/>
    <w:tmpl w:val="0D46A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E649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0442"/>
    <w:rsid w:val="00061009"/>
    <w:rsid w:val="00175947"/>
    <w:rsid w:val="0018459F"/>
    <w:rsid w:val="002D1D4C"/>
    <w:rsid w:val="00323B43"/>
    <w:rsid w:val="003A446F"/>
    <w:rsid w:val="003D37D8"/>
    <w:rsid w:val="00426133"/>
    <w:rsid w:val="004358AB"/>
    <w:rsid w:val="00462E3D"/>
    <w:rsid w:val="004E6350"/>
    <w:rsid w:val="00567094"/>
    <w:rsid w:val="007779D4"/>
    <w:rsid w:val="00800EE6"/>
    <w:rsid w:val="008B7726"/>
    <w:rsid w:val="008F7989"/>
    <w:rsid w:val="00B23DEE"/>
    <w:rsid w:val="00B52D35"/>
    <w:rsid w:val="00BD7860"/>
    <w:rsid w:val="00D31D50"/>
    <w:rsid w:val="00F45464"/>
    <w:rsid w:val="00F5342A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4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4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42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5342A"/>
    <w:pPr>
      <w:ind w:firstLineChars="200" w:firstLine="420"/>
    </w:pPr>
  </w:style>
  <w:style w:type="numbering" w:customStyle="1" w:styleId="1">
    <w:name w:val="样式1"/>
    <w:uiPriority w:val="99"/>
    <w:rsid w:val="00800EE6"/>
    <w:pPr>
      <w:numPr>
        <w:numId w:val="8"/>
      </w:numPr>
    </w:pPr>
  </w:style>
  <w:style w:type="table" w:styleId="a6">
    <w:name w:val="Table Grid"/>
    <w:basedOn w:val="a1"/>
    <w:rsid w:val="00B23DE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B3B6E4-08CC-453A-880E-8F8EB6A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zzybg01</cp:lastModifiedBy>
  <cp:revision>9</cp:revision>
  <dcterms:created xsi:type="dcterms:W3CDTF">2008-09-11T17:20:00Z</dcterms:created>
  <dcterms:modified xsi:type="dcterms:W3CDTF">2020-11-06T08:48:00Z</dcterms:modified>
</cp:coreProperties>
</file>