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2</w:t>
      </w:r>
    </w:p>
    <w:p>
      <w:pPr>
        <w:adjustRightInd/>
        <w:snapToGrid/>
        <w:spacing w:after="0" w:line="0" w:lineRule="atLeast"/>
        <w:jc w:val="center"/>
        <w:outlineLvl w:val="0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宋体" w:eastAsia="宋体" w:cs="Times New Roman"/>
          <w:b/>
          <w:bCs/>
          <w:color w:val="000000" w:themeColor="text1"/>
          <w:kern w:val="36"/>
          <w:sz w:val="36"/>
          <w:szCs w:val="36"/>
        </w:rPr>
        <w:t>北京中医药大学东直门医院（通州院区）二期11层报告厅视频会议系统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1EBF2C5E"/>
    <w:rsid w:val="20CA2484"/>
    <w:rsid w:val="28D27913"/>
    <w:rsid w:val="36FB66E1"/>
    <w:rsid w:val="38C15452"/>
    <w:rsid w:val="3FAE471F"/>
    <w:rsid w:val="46D67DAE"/>
    <w:rsid w:val="514174B0"/>
    <w:rsid w:val="566356F9"/>
    <w:rsid w:val="604012B6"/>
    <w:rsid w:val="64B17390"/>
    <w:rsid w:val="65BF1C58"/>
    <w:rsid w:val="6E4466D3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2022-01-30T02:21:52Z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